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C5775">
        <w:rPr>
          <w:b/>
          <w:color w:val="000000"/>
          <w:u w:val="single"/>
        </w:rPr>
        <w:t>023</w:t>
      </w:r>
      <w:bookmarkStart w:id="0" w:name="_GoBack"/>
      <w:bookmarkEnd w:id="0"/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</w:t>
      </w:r>
      <w:r w:rsidR="00EC5775">
        <w:rPr>
          <w:rFonts w:cs="Arial"/>
        </w:rPr>
        <w:t xml:space="preserve"> feita a reforma do Matadouro Público Municipal.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668F5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39FC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A34CE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31E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668F5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6893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5775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E3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2020-02-27T12:38:00Z</cp:lastPrinted>
  <dcterms:created xsi:type="dcterms:W3CDTF">2020-02-27T12:40:00Z</dcterms:created>
  <dcterms:modified xsi:type="dcterms:W3CDTF">2020-02-27T12:40:00Z</dcterms:modified>
</cp:coreProperties>
</file>