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91B65">
        <w:rPr>
          <w:b/>
          <w:color w:val="000000"/>
          <w:u w:val="single"/>
        </w:rPr>
        <w:t>100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791B65">
        <w:rPr>
          <w:rFonts w:cs="Arial"/>
        </w:rPr>
        <w:t>do Presidente Desta Casa Legislativa, que instale um refletor na lateral do prédio da Câmara Municipal.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A7EAC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E053B3">
        <w:rPr>
          <w:color w:val="000000"/>
        </w:rPr>
        <w:t>agosto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791B65"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94D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F9A9-26F5-487E-8B67-2CDAF907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2020-08-24T11:45:00Z</cp:lastPrinted>
  <dcterms:created xsi:type="dcterms:W3CDTF">2020-08-24T11:49:00Z</dcterms:created>
  <dcterms:modified xsi:type="dcterms:W3CDTF">2020-08-24T11:49:00Z</dcterms:modified>
</cp:coreProperties>
</file>