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E04EA">
        <w:rPr>
          <w:b/>
          <w:color w:val="000000"/>
          <w:u w:val="single"/>
        </w:rPr>
        <w:t>114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>ipal, que sej</w:t>
      </w:r>
      <w:r w:rsidR="004E04EA">
        <w:rPr>
          <w:rFonts w:cs="Arial"/>
        </w:rPr>
        <w:t xml:space="preserve">a feita a limpeza do mato nas duas laterais da ponte do rio </w:t>
      </w:r>
      <w:proofErr w:type="spellStart"/>
      <w:r w:rsidR="004E04EA">
        <w:rPr>
          <w:rFonts w:cs="Arial"/>
        </w:rPr>
        <w:t>Sabugi</w:t>
      </w:r>
      <w:proofErr w:type="spellEnd"/>
      <w:r w:rsidR="004E04EA">
        <w:rPr>
          <w:rFonts w:cs="Arial"/>
        </w:rPr>
        <w:t>, tanto do lado da saída como do outro lado.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13264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4E04EA">
        <w:rPr>
          <w:b/>
          <w:color w:val="000000"/>
        </w:rPr>
        <w:t>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932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9F37-2D0A-41EE-8D1C-7AEC8F60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2020-09-28T13:49:00Z</dcterms:created>
  <dcterms:modified xsi:type="dcterms:W3CDTF">2020-09-28T13:49:00Z</dcterms:modified>
</cp:coreProperties>
</file>