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A11EE">
        <w:rPr>
          <w:b/>
          <w:color w:val="000000"/>
          <w:u w:val="single"/>
        </w:rPr>
        <w:t>115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3A11EE">
        <w:rPr>
          <w:rFonts w:cs="Arial"/>
        </w:rPr>
        <w:t xml:space="preserve">a construção de contorno rodoviário na saída para a cidade de Serra Negra do Norte e na entrada do loteamento Nova </w:t>
      </w:r>
      <w:proofErr w:type="spellStart"/>
      <w:r w:rsidR="003A11EE">
        <w:rPr>
          <w:rFonts w:cs="Arial"/>
        </w:rPr>
        <w:t>Sabugi</w:t>
      </w:r>
      <w:proofErr w:type="spellEnd"/>
      <w:r w:rsidR="003A11EE">
        <w:rPr>
          <w:rFonts w:cs="Arial"/>
        </w:rPr>
        <w:t>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A11EE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3A11EE">
        <w:rPr>
          <w:b/>
          <w:color w:val="000000"/>
        </w:rPr>
        <w:t>JOÃO BATISTA GARCIA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29E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024A-F6C6-4BD1-B298-98904728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2020-10-02T12:45:00Z</dcterms:created>
  <dcterms:modified xsi:type="dcterms:W3CDTF">2020-10-02T12:45:00Z</dcterms:modified>
</cp:coreProperties>
</file>