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53BC2">
        <w:rPr>
          <w:b/>
          <w:color w:val="000000"/>
          <w:u w:val="single"/>
        </w:rPr>
        <w:t>047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E53BC2">
        <w:rPr>
          <w:rFonts w:cs="Arial"/>
        </w:rPr>
        <w:t xml:space="preserve"> Municipal, que seja feita a complementação do calçamento no bairro: </w:t>
      </w:r>
      <w:proofErr w:type="spellStart"/>
      <w:r w:rsidR="00E53BC2">
        <w:rPr>
          <w:rFonts w:cs="Arial"/>
        </w:rPr>
        <w:t>Ipueirinha</w:t>
      </w:r>
      <w:proofErr w:type="spellEnd"/>
      <w:r w:rsidR="00E53BC2">
        <w:rPr>
          <w:rFonts w:cs="Arial"/>
        </w:rPr>
        <w:t>, em frente à casa de João Bernardo.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E53BC2">
        <w:rPr>
          <w:b/>
          <w:color w:val="000000"/>
        </w:rPr>
        <w:t xml:space="preserve">       QUINTINO LIBERALINO DE ARAÚJO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AE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2021-04-16T13:52:00Z</dcterms:created>
  <dcterms:modified xsi:type="dcterms:W3CDTF">2021-04-16T13:52:00Z</dcterms:modified>
</cp:coreProperties>
</file>