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283660">
        <w:rPr>
          <w:b/>
          <w:color w:val="000000"/>
          <w:u w:val="single"/>
        </w:rPr>
        <w:t>74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283660">
        <w:rPr>
          <w:rFonts w:cs="Arial"/>
        </w:rPr>
        <w:t>, que faça a aquisição de duas balanças com impressora, uma para o matadouro público municipal e a outra para o açougue público.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83660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0E1E27">
        <w:rPr>
          <w:color w:val="000000"/>
        </w:rPr>
        <w:t>maio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28366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2CC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2021-05-05T14:41:00Z</cp:lastPrinted>
  <dcterms:created xsi:type="dcterms:W3CDTF">2021-05-12T12:23:00Z</dcterms:created>
  <dcterms:modified xsi:type="dcterms:W3CDTF">2021-05-12T12:23:00Z</dcterms:modified>
</cp:coreProperties>
</file>