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96ACC">
        <w:rPr>
          <w:b/>
          <w:color w:val="000000"/>
          <w:u w:val="single"/>
        </w:rPr>
        <w:t>002</w:t>
      </w:r>
      <w:r w:rsidR="00D979D0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96ACC">
        <w:rPr>
          <w:rFonts w:cs="Arial"/>
        </w:rPr>
        <w:t>, que conceda aumento aos cargos do município que tenham remuneração inicial superior ao salário mínimo.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661AB">
        <w:rPr>
          <w:color w:val="000000"/>
        </w:rPr>
        <w:t xml:space="preserve"> 16</w:t>
      </w:r>
      <w:r w:rsidR="00E04E49">
        <w:rPr>
          <w:color w:val="000000"/>
        </w:rPr>
        <w:t xml:space="preserve"> de </w:t>
      </w:r>
      <w:r w:rsidR="00F661AB">
        <w:rPr>
          <w:color w:val="000000"/>
        </w:rPr>
        <w:t>fevereiro de 2022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896AC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3AAB-F45C-4066-ACF5-BEB57EB5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2022-02-16T13:51:00Z</cp:lastPrinted>
  <dcterms:created xsi:type="dcterms:W3CDTF">2022-02-16T13:54:00Z</dcterms:created>
  <dcterms:modified xsi:type="dcterms:W3CDTF">2022-02-16T13:54:00Z</dcterms:modified>
</cp:coreProperties>
</file>