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9133B2C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0435F">
        <w:rPr>
          <w:b/>
          <w:color w:val="000000"/>
          <w:u w:val="single"/>
        </w:rPr>
        <w:t>10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4D686045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E23F6">
        <w:rPr>
          <w:rFonts w:cs="Arial"/>
        </w:rPr>
        <w:t xml:space="preserve">, que </w:t>
      </w:r>
      <w:r w:rsidR="00C260C3">
        <w:rPr>
          <w:rFonts w:cs="Arial"/>
        </w:rPr>
        <w:t xml:space="preserve">faça </w:t>
      </w:r>
      <w:r w:rsidR="00B0435F">
        <w:rPr>
          <w:rFonts w:cs="Arial"/>
        </w:rPr>
        <w:t>dois mata-burro na estrada do acampamento, um na estrada que desce para a barra do pau a pique e outro na saída da divisa de Antônio Joca.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F6D1834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35F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6E7E3291" w:rsidR="00A83134" w:rsidRDefault="00C260C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2022-03-03T12:29:00Z</cp:lastPrinted>
  <dcterms:created xsi:type="dcterms:W3CDTF">2022-03-10T12:58:00Z</dcterms:created>
  <dcterms:modified xsi:type="dcterms:W3CDTF">2022-03-10T12:58:00Z</dcterms:modified>
</cp:coreProperties>
</file>