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BB3859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6D0CC3">
        <w:rPr>
          <w:b/>
          <w:color w:val="000000"/>
          <w:u w:val="single"/>
        </w:rPr>
        <w:t>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3DF3E1B3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>que seja colocado um corrimão na rampa que dá acesso ao PSF II, no Novo Horizonte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0F4AA33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C06FFC">
        <w:rPr>
          <w:color w:val="000000"/>
        </w:rPr>
        <w:t>1</w:t>
      </w:r>
      <w:r w:rsidR="006D0CC3">
        <w:rPr>
          <w:color w:val="000000"/>
        </w:rPr>
        <w:t>3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5882ACD1" w:rsidR="00A83134" w:rsidRDefault="00C06FF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6D0CC3">
        <w:rPr>
          <w:b/>
          <w:color w:val="000000"/>
        </w:rPr>
        <w:t>NDRÉ LUIZ FERNANDES DE MEDEIROS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2022-04-07T12:16:00Z</cp:lastPrinted>
  <dcterms:created xsi:type="dcterms:W3CDTF">2022-04-13T13:41:00Z</dcterms:created>
  <dcterms:modified xsi:type="dcterms:W3CDTF">2022-04-13T13:41:00Z</dcterms:modified>
</cp:coreProperties>
</file>