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AC6CFF">
        <w:rPr>
          <w:b/>
          <w:color w:val="000000"/>
          <w:u w:val="single"/>
        </w:rPr>
        <w:t>55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AC6CFF">
        <w:rPr>
          <w:rFonts w:cs="Arial"/>
        </w:rPr>
        <w:t>al, que faça a reforma do Açougue Público Municipal</w:t>
      </w:r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0271EE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AC6CF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C6CFF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F1E8-DF6D-4F55-B46F-21B09DA2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2024-07-04T13:23:00Z</dcterms:created>
  <dcterms:modified xsi:type="dcterms:W3CDTF">2024-07-04T13:23:00Z</dcterms:modified>
</cp:coreProperties>
</file>