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4D4F65">
        <w:rPr>
          <w:b/>
          <w:color w:val="000000"/>
          <w:u w:val="single"/>
        </w:rPr>
        <w:t>49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4D4F65">
        <w:rPr>
          <w:rFonts w:cs="Arial"/>
        </w:rPr>
        <w:t xml:space="preserve"> e do Secretário Municipal de Agricultura, a criação de um laboratório para exames de brucelose e tuberculose, para atender os pequenos produtores rurais</w:t>
      </w:r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514B63">
        <w:rPr>
          <w:color w:val="000000"/>
        </w:rPr>
        <w:t>26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4D4F65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FERNANDES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6A38-48EB-47C4-AF68-E4D87FE4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2025-03-26T13:58:00Z</cp:lastPrinted>
  <dcterms:created xsi:type="dcterms:W3CDTF">2025-03-26T14:01:00Z</dcterms:created>
  <dcterms:modified xsi:type="dcterms:W3CDTF">2025-03-26T14:01:00Z</dcterms:modified>
</cp:coreProperties>
</file>