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544BE3">
        <w:rPr>
          <w:b/>
          <w:color w:val="000000"/>
          <w:u w:val="single"/>
        </w:rPr>
        <w:t>63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BC5D09">
        <w:rPr>
          <w:rFonts w:cs="Arial"/>
        </w:rPr>
        <w:t xml:space="preserve">icipal, que </w:t>
      </w:r>
      <w:r w:rsidR="00544BE3">
        <w:rPr>
          <w:rFonts w:cs="Arial"/>
        </w:rPr>
        <w:t>faça a reforma dos banheiros da Praça Antônio Quintino de Araújo e da Praça de Alimentação.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544BE3">
        <w:rPr>
          <w:color w:val="000000"/>
        </w:rPr>
        <w:t>14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544BE3">
        <w:rPr>
          <w:color w:val="000000"/>
        </w:rPr>
        <w:t>maio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544BE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A295-5FF2-4B81-95B3-301FCAC9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2025-04-25T13:25:00Z</cp:lastPrinted>
  <dcterms:created xsi:type="dcterms:W3CDTF">2025-05-14T21:36:00Z</dcterms:created>
  <dcterms:modified xsi:type="dcterms:W3CDTF">2025-05-14T21:36:00Z</dcterms:modified>
</cp:coreProperties>
</file>