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B792A">
        <w:rPr>
          <w:b/>
          <w:color w:val="000000"/>
          <w:u w:val="single"/>
        </w:rPr>
        <w:t>84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CB792A">
        <w:rPr>
          <w:rFonts w:cs="Arial"/>
        </w:rPr>
        <w:t>l, que onde tiver grama na praça de alimentação, seja substituído por tijolos de cimento, respeitando o espaço (canteiro) das plantas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CB792A">
        <w:rPr>
          <w:color w:val="000000"/>
        </w:rPr>
        <w:t>06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CB792A">
        <w:rPr>
          <w:color w:val="000000"/>
        </w:rPr>
        <w:t>agosto</w:t>
      </w:r>
      <w:bookmarkStart w:id="0" w:name="_GoBack"/>
      <w:bookmarkEnd w:id="0"/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53569D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BB84-F357-4CBA-BEA3-46CF7DDA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2025-07-30T12:08:00Z</cp:lastPrinted>
  <dcterms:created xsi:type="dcterms:W3CDTF">2025-08-06T11:40:00Z</dcterms:created>
  <dcterms:modified xsi:type="dcterms:W3CDTF">2025-08-06T11:40:00Z</dcterms:modified>
</cp:coreProperties>
</file>