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36169B">
        <w:rPr>
          <w:b/>
          <w:color w:val="000000"/>
          <w:u w:val="single"/>
        </w:rPr>
        <w:t>92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36169B">
        <w:rPr>
          <w:rFonts w:cs="Arial"/>
        </w:rPr>
        <w:t xml:space="preserve"> que instale um poço no matadouro, e que seja colocada uma caixa d’água em um local para que seja atendida a demanda dos criadores de suínos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36169B">
        <w:rPr>
          <w:color w:val="000000"/>
        </w:rPr>
        <w:t>05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36169B" w:rsidP="0084012D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13A4-924E-4AF5-B50F-BB5AA9FD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2025-09-03T14:25:00Z</cp:lastPrinted>
  <dcterms:created xsi:type="dcterms:W3CDTF">2025-09-05T12:35:00Z</dcterms:created>
  <dcterms:modified xsi:type="dcterms:W3CDTF">2025-09-05T12:35:00Z</dcterms:modified>
</cp:coreProperties>
</file>