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AD02B2">
        <w:rPr>
          <w:b/>
          <w:color w:val="000000"/>
          <w:u w:val="single"/>
        </w:rPr>
        <w:t>95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</w:t>
      </w:r>
      <w:r w:rsidR="00D106CE">
        <w:rPr>
          <w:rFonts w:cs="Arial"/>
        </w:rPr>
        <w:t xml:space="preserve"> que faç</w:t>
      </w:r>
      <w:r w:rsidR="00AD02B2">
        <w:rPr>
          <w:rFonts w:cs="Arial"/>
        </w:rPr>
        <w:t>a a reativação e manutenção dos poços inativos (sem uso por falta de manutenção) de nosso município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EF063F">
        <w:rPr>
          <w:color w:val="000000"/>
        </w:rPr>
        <w:t>10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AD02B2" w:rsidP="0084012D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A2C7B-33F3-49B5-A474-C6ED5DF9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2025-09-03T14:25:00Z</cp:lastPrinted>
  <dcterms:created xsi:type="dcterms:W3CDTF">2025-09-10T23:15:00Z</dcterms:created>
  <dcterms:modified xsi:type="dcterms:W3CDTF">2025-09-10T23:15:00Z</dcterms:modified>
</cp:coreProperties>
</file>