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E191F">
        <w:rPr>
          <w:b/>
          <w:color w:val="000000"/>
          <w:u w:val="single"/>
        </w:rPr>
        <w:t>101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</w:t>
      </w:r>
      <w:r w:rsidR="00AE191F">
        <w:rPr>
          <w:rFonts w:cs="Arial"/>
        </w:rPr>
        <w:t xml:space="preserve">a troca dos portões do açougue público municipal, por portões </w:t>
      </w:r>
      <w:proofErr w:type="spellStart"/>
      <w:r w:rsidR="00AE191F">
        <w:rPr>
          <w:rFonts w:cs="Arial"/>
        </w:rPr>
        <w:t>corredeiros</w:t>
      </w:r>
      <w:proofErr w:type="spellEnd"/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6618D">
        <w:rPr>
          <w:color w:val="000000"/>
        </w:rPr>
        <w:t>17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E191F" w:rsidP="0084012D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248B-1042-4F8B-8326-D0BFADEC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2025-09-17T23:04:00Z</cp:lastPrinted>
  <dcterms:created xsi:type="dcterms:W3CDTF">2025-09-17T23:06:00Z</dcterms:created>
  <dcterms:modified xsi:type="dcterms:W3CDTF">2025-09-17T23:06:00Z</dcterms:modified>
</cp:coreProperties>
</file>