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3BBF">
        <w:rPr>
          <w:b/>
          <w:color w:val="000000"/>
          <w:u w:val="single"/>
        </w:rPr>
        <w:t>007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3BBF">
        <w:rPr>
          <w:rFonts w:cs="Arial"/>
        </w:rPr>
        <w:t>, que faça toda a parte estrutural do PSF-I, desde a aquisição de cadeiras, computadores, e uma revisão na parte elétrica.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D5E7D">
        <w:rPr>
          <w:color w:val="000000"/>
        </w:rPr>
        <w:t xml:space="preserve"> 27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433BB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F64A-80CD-4C9D-9723-2533F87D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2023-01-27T14:22:00Z</cp:lastPrinted>
  <dcterms:created xsi:type="dcterms:W3CDTF">2023-01-27T14:26:00Z</dcterms:created>
  <dcterms:modified xsi:type="dcterms:W3CDTF">2023-01-27T14:26:00Z</dcterms:modified>
</cp:coreProperties>
</file>