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4331D">
        <w:rPr>
          <w:b/>
          <w:color w:val="000000"/>
          <w:u w:val="single"/>
        </w:rPr>
        <w:t>020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4331D">
        <w:rPr>
          <w:rFonts w:cs="Arial"/>
        </w:rPr>
        <w:t xml:space="preserve">, a construção da arquibancada do Estádio </w:t>
      </w:r>
      <w:proofErr w:type="spellStart"/>
      <w:r w:rsidR="0084331D">
        <w:rPr>
          <w:rFonts w:cs="Arial"/>
        </w:rPr>
        <w:t>Nogueirão</w:t>
      </w:r>
      <w:proofErr w:type="spellEnd"/>
      <w:r w:rsidR="0084331D">
        <w:rPr>
          <w:rFonts w:cs="Arial"/>
        </w:rPr>
        <w:t>, assim como a reforma dos banheiros.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84331D">
        <w:rPr>
          <w:color w:val="000000"/>
        </w:rPr>
        <w:t xml:space="preserve"> 06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84331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6AF2-6872-4215-9697-FFEE35F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2023-03-02T12:37:00Z</cp:lastPrinted>
  <dcterms:created xsi:type="dcterms:W3CDTF">2023-03-06T12:20:00Z</dcterms:created>
  <dcterms:modified xsi:type="dcterms:W3CDTF">2023-03-06T12:20:00Z</dcterms:modified>
</cp:coreProperties>
</file>