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DB38CC">
        <w:rPr>
          <w:b/>
          <w:color w:val="000000"/>
          <w:u w:val="single"/>
        </w:rPr>
        <w:t>44/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DB38CC">
        <w:rPr>
          <w:rFonts w:cs="Arial"/>
        </w:rPr>
        <w:t xml:space="preserve">a construção de uma praça por trás do </w:t>
      </w:r>
      <w:r w:rsidR="00E667CA">
        <w:rPr>
          <w:rFonts w:cs="Arial"/>
        </w:rPr>
        <w:t>SEMTHAS.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7D4B17">
        <w:rPr>
          <w:color w:val="000000"/>
        </w:rPr>
        <w:t>10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DB38CC">
        <w:rPr>
          <w:b/>
          <w:color w:val="000000"/>
        </w:rPr>
        <w:t>ANDRÉ LUIZ FERNANDES DE MEDEIROS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8788B-124B-4274-BB27-422D9300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2023-04-11T12:22:00Z</cp:lastPrinted>
  <dcterms:created xsi:type="dcterms:W3CDTF">2023-04-11T12:24:00Z</dcterms:created>
  <dcterms:modified xsi:type="dcterms:W3CDTF">2023-04-11T12:35:00Z</dcterms:modified>
</cp:coreProperties>
</file>