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413F60">
        <w:rPr>
          <w:b/>
          <w:color w:val="000000"/>
          <w:u w:val="single"/>
        </w:rPr>
        <w:t>50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413F60">
        <w:rPr>
          <w:rFonts w:cs="Arial"/>
        </w:rPr>
        <w:t>que faça a reforma do laboratório de robótica da Escola Municipal Padre Joaquim Félix</w:t>
      </w:r>
      <w:r w:rsidR="00E667CA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413F60">
        <w:rPr>
          <w:color w:val="000000"/>
        </w:rPr>
        <w:t>27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413F60"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8D8C-594D-4278-94B5-E5F3C7CB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2023-04-13T12:49:00Z</cp:lastPrinted>
  <dcterms:created xsi:type="dcterms:W3CDTF">2023-04-27T12:04:00Z</dcterms:created>
  <dcterms:modified xsi:type="dcterms:W3CDTF">2023-04-27T12:04:00Z</dcterms:modified>
</cp:coreProperties>
</file>