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BD2B68">
        <w:rPr>
          <w:b/>
          <w:color w:val="000000"/>
          <w:u w:val="single"/>
        </w:rPr>
        <w:t>074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BD2B68">
        <w:rPr>
          <w:color w:val="000000"/>
        </w:rPr>
        <w:t xml:space="preserve"> do Presidente da Câmara Municipal de Vereadores, que envie ofício ao Poder Executivo Municipal, solicitando o quantitativo e a localização de todos os terrenos que pertencem ao município onde ainda não existe construção.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6575D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7C138F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6575D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BD2B68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B34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2019-08-27T12:31:00Z</cp:lastPrinted>
  <dcterms:created xsi:type="dcterms:W3CDTF">2019-08-27T12:36:00Z</dcterms:created>
  <dcterms:modified xsi:type="dcterms:W3CDTF">2019-08-27T12:36:00Z</dcterms:modified>
</cp:coreProperties>
</file>