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004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421A34">
        <w:t>ao Poder Executivo Municipal, solicitando</w:t>
      </w:r>
      <w:r w:rsidR="00AF21E3">
        <w:t xml:space="preserve"> que regularize o mais rápido possível o abastecimento (pipa) de água nas comunidades rurais.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726369">
        <w:rPr>
          <w:color w:val="000000"/>
        </w:rPr>
        <w:t>16</w:t>
      </w:r>
      <w:r w:rsidR="001D23E8">
        <w:rPr>
          <w:color w:val="000000"/>
        </w:rPr>
        <w:t xml:space="preserve"> de </w:t>
      </w:r>
      <w:r w:rsidR="00726369">
        <w:rPr>
          <w:color w:val="000000"/>
        </w:rPr>
        <w:t>fevereiro de 2022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21A34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AF21E3" w:rsidP="001F6A1A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  <w:bookmarkStart w:id="0" w:name="_GoBack"/>
      <w:bookmarkEnd w:id="0"/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21A34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44CFB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2022-02-16T14:16:00Z</cp:lastPrinted>
  <dcterms:created xsi:type="dcterms:W3CDTF">2022-02-16T14:18:00Z</dcterms:created>
  <dcterms:modified xsi:type="dcterms:W3CDTF">2022-02-16T14:18:00Z</dcterms:modified>
</cp:coreProperties>
</file>