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1599C">
        <w:rPr>
          <w:b/>
          <w:u w:val="single"/>
        </w:rPr>
        <w:t xml:space="preserve"> 018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A1599C">
        <w:t>io ao Secretário Estadual de Recursos Hídricos, solicitando que seja feito um projeto de uma adutora do Rio Piranhas, para São João do Sabugi, para atender as nossas necessidades hídricas</w:t>
      </w:r>
      <w:r w:rsidR="00224D4D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71E26">
        <w:rPr>
          <w:color w:val="000000"/>
        </w:rPr>
        <w:t>26</w:t>
      </w:r>
      <w:r w:rsidR="001D23E8">
        <w:rPr>
          <w:color w:val="000000"/>
        </w:rPr>
        <w:t xml:space="preserve"> de </w:t>
      </w:r>
      <w:r w:rsidR="007A6497">
        <w:rPr>
          <w:color w:val="000000"/>
        </w:rPr>
        <w:t>março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A1599C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</w:t>
      </w:r>
      <w:bookmarkStart w:id="0" w:name="_GoBack"/>
      <w:bookmarkEnd w:id="0"/>
      <w:r>
        <w:rPr>
          <w:b/>
          <w:color w:val="000000"/>
        </w:rPr>
        <w:t xml:space="preserve"> CARLOS EDUARDO FLORÊNCIO DE MEDEIROS FERNANDES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2025-03-26T14:05:00Z</dcterms:created>
  <dcterms:modified xsi:type="dcterms:W3CDTF">2025-03-26T14:05:00Z</dcterms:modified>
</cp:coreProperties>
</file>